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5F" w:rsidRPr="00401E5F" w:rsidRDefault="00401E5F" w:rsidP="00401E5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01E5F">
        <w:rPr>
          <w:rFonts w:ascii="Times New Roman" w:hAnsi="Times New Roman" w:cs="Times New Roman"/>
          <w:b/>
          <w:noProof/>
          <w:sz w:val="28"/>
          <w:szCs w:val="28"/>
        </w:rPr>
        <w:t>Информация о конкурсе, количестве заявлений  и бюджетных местах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401E5F">
        <w:rPr>
          <w:rFonts w:ascii="Times New Roman" w:hAnsi="Times New Roman" w:cs="Times New Roman"/>
          <w:b/>
          <w:noProof/>
          <w:sz w:val="28"/>
          <w:szCs w:val="28"/>
        </w:rPr>
        <w:t xml:space="preserve"> за период 1990-201</w:t>
      </w: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bookmarkStart w:id="0" w:name="_GoBack"/>
      <w:bookmarkEnd w:id="0"/>
      <w:r w:rsidRPr="00401E5F">
        <w:rPr>
          <w:rFonts w:ascii="Times New Roman" w:hAnsi="Times New Roman" w:cs="Times New Roman"/>
          <w:b/>
          <w:noProof/>
          <w:sz w:val="28"/>
          <w:szCs w:val="28"/>
        </w:rPr>
        <w:t xml:space="preserve"> годы</w:t>
      </w:r>
    </w:p>
    <w:p w:rsidR="00401E5F" w:rsidRDefault="00401E5F"/>
    <w:p w:rsidR="00AD7195" w:rsidRDefault="005B11A2">
      <w:r>
        <w:rPr>
          <w:noProof/>
          <w:lang w:eastAsia="ru-RU"/>
        </w:rPr>
        <w:drawing>
          <wp:inline distT="0" distB="0" distL="0" distR="0" wp14:anchorId="041D53BB" wp14:editId="4F4B8328">
            <wp:extent cx="5631180" cy="311658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1A2" w:rsidRDefault="005B11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03D2EE6" wp14:editId="3DB5A5BF">
            <wp:extent cx="5570220" cy="3444240"/>
            <wp:effectExtent l="0" t="0" r="1143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11A2" w:rsidRPr="005B11A2" w:rsidRDefault="005B11A2">
      <w:pPr>
        <w:rPr>
          <w:lang w:val="en-US"/>
        </w:rPr>
      </w:pPr>
      <w:r w:rsidRPr="005B11A2">
        <w:rPr>
          <w:noProof/>
          <w:color w:val="4F6228" w:themeColor="accent3" w:themeShade="80"/>
          <w:lang w:eastAsia="ru-RU"/>
        </w:rPr>
        <w:lastRenderedPageBreak/>
        <w:drawing>
          <wp:inline distT="0" distB="0" distL="0" distR="0" wp14:anchorId="04438C6D" wp14:editId="2E6EEB4B">
            <wp:extent cx="5570220" cy="3276600"/>
            <wp:effectExtent l="0" t="0" r="1143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B11A2" w:rsidRPr="005B11A2" w:rsidSect="005B11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A2"/>
    <w:rsid w:val="003C049D"/>
    <w:rsid w:val="00401E5F"/>
    <w:rsid w:val="005B11A2"/>
    <w:rsid w:val="00665CE6"/>
    <w:rsid w:val="00AD7195"/>
    <w:rsid w:val="00C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ru-RU" sz="1400" b="0" i="0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Контрольные цифры приема (бюджет)</a:t>
            </a:r>
            <a:r>
              <a:rPr lang="ru-RU" sz="1400" b="0" i="0" baseline="0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период                     1990-2013 г.г.</a:t>
            </a:r>
            <a:endParaRPr lang="ru-RU" sz="1400" b="0" i="0">
              <a:solidFill>
                <a:schemeClr val="tx2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043787966220536E-2"/>
          <c:y val="0.15468503937007871"/>
          <c:w val="0.88373556585568647"/>
          <c:h val="0.710653927405415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КЦП</c:v>
                </c:pt>
              </c:strCache>
            </c:strRef>
          </c:tx>
          <c:marker>
            <c:spPr>
              <a:solidFill>
                <a:schemeClr val="tx2"/>
              </a:solidFill>
            </c:spPr>
          </c:marker>
          <c:cat>
            <c:numRef>
              <c:f>Лист1!$A$3:$A$26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Лист1!$B$3:$B$26</c:f>
              <c:numCache>
                <c:formatCode>General</c:formatCode>
                <c:ptCount val="24"/>
                <c:pt idx="0">
                  <c:v>275</c:v>
                </c:pt>
                <c:pt idx="1">
                  <c:v>275</c:v>
                </c:pt>
                <c:pt idx="2">
                  <c:v>275</c:v>
                </c:pt>
                <c:pt idx="3">
                  <c:v>275</c:v>
                </c:pt>
                <c:pt idx="4">
                  <c:v>275</c:v>
                </c:pt>
                <c:pt idx="5">
                  <c:v>300</c:v>
                </c:pt>
                <c:pt idx="6">
                  <c:v>330</c:v>
                </c:pt>
                <c:pt idx="7">
                  <c:v>330</c:v>
                </c:pt>
                <c:pt idx="8">
                  <c:v>315</c:v>
                </c:pt>
                <c:pt idx="9">
                  <c:v>350</c:v>
                </c:pt>
                <c:pt idx="10">
                  <c:v>380</c:v>
                </c:pt>
                <c:pt idx="11">
                  <c:v>330</c:v>
                </c:pt>
                <c:pt idx="12">
                  <c:v>330</c:v>
                </c:pt>
                <c:pt idx="13">
                  <c:v>380</c:v>
                </c:pt>
                <c:pt idx="14">
                  <c:v>405</c:v>
                </c:pt>
                <c:pt idx="15">
                  <c:v>404</c:v>
                </c:pt>
                <c:pt idx="16">
                  <c:v>418</c:v>
                </c:pt>
                <c:pt idx="17">
                  <c:v>404</c:v>
                </c:pt>
                <c:pt idx="18">
                  <c:v>419</c:v>
                </c:pt>
                <c:pt idx="19">
                  <c:v>447</c:v>
                </c:pt>
                <c:pt idx="20">
                  <c:v>431</c:v>
                </c:pt>
                <c:pt idx="21">
                  <c:v>446</c:v>
                </c:pt>
                <c:pt idx="22">
                  <c:v>445</c:v>
                </c:pt>
                <c:pt idx="23">
                  <c:v>428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022784"/>
        <c:axId val="78501504"/>
      </c:lineChart>
      <c:catAx>
        <c:axId val="11602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8501504"/>
        <c:crosses val="autoZero"/>
        <c:auto val="1"/>
        <c:lblAlgn val="ctr"/>
        <c:lblOffset val="100"/>
        <c:noMultiLvlLbl val="0"/>
      </c:catAx>
      <c:valAx>
        <c:axId val="7850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022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chemeClr val="accent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заявлений на бюджетную форму обучения в период 1990-2013 г.г.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Лист2!$B$2:$B$3</c:f>
              <c:strCache>
                <c:ptCount val="1"/>
                <c:pt idx="0">
                  <c:v>Количество заявлений</c:v>
                </c:pt>
              </c:strCache>
            </c:strRef>
          </c:tx>
          <c:cat>
            <c:numRef>
              <c:f>Лист2!$A$4:$A$27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Лист2!$B$4:$B$27</c:f>
              <c:numCache>
                <c:formatCode>General</c:formatCode>
                <c:ptCount val="24"/>
                <c:pt idx="0">
                  <c:v>488</c:v>
                </c:pt>
                <c:pt idx="1">
                  <c:v>574</c:v>
                </c:pt>
                <c:pt idx="2">
                  <c:v>442</c:v>
                </c:pt>
                <c:pt idx="3">
                  <c:v>362</c:v>
                </c:pt>
                <c:pt idx="4">
                  <c:v>380</c:v>
                </c:pt>
                <c:pt idx="5">
                  <c:v>390</c:v>
                </c:pt>
                <c:pt idx="6">
                  <c:v>557</c:v>
                </c:pt>
                <c:pt idx="7">
                  <c:v>539</c:v>
                </c:pt>
                <c:pt idx="8">
                  <c:v>803</c:v>
                </c:pt>
                <c:pt idx="9">
                  <c:v>937</c:v>
                </c:pt>
                <c:pt idx="10">
                  <c:v>1051</c:v>
                </c:pt>
                <c:pt idx="11">
                  <c:v>1563</c:v>
                </c:pt>
                <c:pt idx="12">
                  <c:v>1590</c:v>
                </c:pt>
                <c:pt idx="13">
                  <c:v>1570</c:v>
                </c:pt>
                <c:pt idx="14">
                  <c:v>2146</c:v>
                </c:pt>
                <c:pt idx="15">
                  <c:v>2319</c:v>
                </c:pt>
                <c:pt idx="16">
                  <c:v>2293</c:v>
                </c:pt>
                <c:pt idx="17">
                  <c:v>2206</c:v>
                </c:pt>
                <c:pt idx="18">
                  <c:v>1718</c:v>
                </c:pt>
                <c:pt idx="19">
                  <c:v>6652</c:v>
                </c:pt>
                <c:pt idx="20">
                  <c:v>3660</c:v>
                </c:pt>
                <c:pt idx="21">
                  <c:v>4094</c:v>
                </c:pt>
                <c:pt idx="22">
                  <c:v>4575</c:v>
                </c:pt>
                <c:pt idx="23">
                  <c:v>2852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021760"/>
        <c:axId val="78503232"/>
      </c:lineChart>
      <c:catAx>
        <c:axId val="11602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8503232"/>
        <c:crosses val="autoZero"/>
        <c:auto val="1"/>
        <c:lblAlgn val="ctr"/>
        <c:lblOffset val="100"/>
        <c:noMultiLvlLbl val="0"/>
      </c:catAx>
      <c:valAx>
        <c:axId val="7850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021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chemeClr val="accent4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Конкурс  заявлений</a:t>
            </a:r>
            <a:r>
              <a:rPr lang="en-US" sz="1400" b="0">
                <a:solidFill>
                  <a:schemeClr val="accent4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>
                <a:solidFill>
                  <a:schemeClr val="accent4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бюджетную форму обучения в период 1990-2013 г.г.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Лист3!$B$1:$B$2</c:f>
              <c:strCache>
                <c:ptCount val="1"/>
                <c:pt idx="0">
                  <c:v>Конкурс  заявлений</c:v>
                </c:pt>
              </c:strCache>
            </c:strRef>
          </c:tx>
          <c:cat>
            <c:numRef>
              <c:f>Лист3!$A$3:$A$26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Лист3!$B$3:$B$26</c:f>
              <c:numCache>
                <c:formatCode>General</c:formatCode>
                <c:ptCount val="24"/>
                <c:pt idx="0">
                  <c:v>1.77</c:v>
                </c:pt>
                <c:pt idx="1">
                  <c:v>2.08</c:v>
                </c:pt>
                <c:pt idx="2">
                  <c:v>1.6</c:v>
                </c:pt>
                <c:pt idx="3">
                  <c:v>1.3</c:v>
                </c:pt>
                <c:pt idx="4">
                  <c:v>1.4</c:v>
                </c:pt>
                <c:pt idx="5">
                  <c:v>1.3</c:v>
                </c:pt>
                <c:pt idx="6">
                  <c:v>1.68</c:v>
                </c:pt>
                <c:pt idx="7">
                  <c:v>1.63</c:v>
                </c:pt>
                <c:pt idx="8">
                  <c:v>0</c:v>
                </c:pt>
                <c:pt idx="9">
                  <c:v>2.68</c:v>
                </c:pt>
                <c:pt idx="10">
                  <c:v>2.8</c:v>
                </c:pt>
                <c:pt idx="11">
                  <c:v>4.74</c:v>
                </c:pt>
                <c:pt idx="12">
                  <c:v>4.8</c:v>
                </c:pt>
                <c:pt idx="13">
                  <c:v>4.76</c:v>
                </c:pt>
                <c:pt idx="14">
                  <c:v>5.3</c:v>
                </c:pt>
                <c:pt idx="15">
                  <c:v>5.8</c:v>
                </c:pt>
                <c:pt idx="16">
                  <c:v>6.1</c:v>
                </c:pt>
                <c:pt idx="17">
                  <c:v>6.13</c:v>
                </c:pt>
                <c:pt idx="18">
                  <c:v>4.5999999999999996</c:v>
                </c:pt>
                <c:pt idx="19">
                  <c:v>16.100000000000001</c:v>
                </c:pt>
                <c:pt idx="20">
                  <c:v>8.5</c:v>
                </c:pt>
                <c:pt idx="21">
                  <c:v>8.6999999999999993</c:v>
                </c:pt>
                <c:pt idx="22">
                  <c:v>10.3</c:v>
                </c:pt>
                <c:pt idx="23">
                  <c:v>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576256"/>
        <c:axId val="78502080"/>
      </c:lineChart>
      <c:catAx>
        <c:axId val="11657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502080"/>
        <c:crosses val="autoZero"/>
        <c:auto val="1"/>
        <c:lblAlgn val="ctr"/>
        <c:lblOffset val="100"/>
        <c:noMultiLvlLbl val="0"/>
      </c:catAx>
      <c:valAx>
        <c:axId val="7850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76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Владимир Борисович</dc:creator>
  <cp:lastModifiedBy>Иванов Владимир Борисович</cp:lastModifiedBy>
  <cp:revision>2</cp:revision>
  <dcterms:created xsi:type="dcterms:W3CDTF">2013-12-03T10:29:00Z</dcterms:created>
  <dcterms:modified xsi:type="dcterms:W3CDTF">2013-12-03T10:44:00Z</dcterms:modified>
</cp:coreProperties>
</file>