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C7" w:rsidRPr="003701C7" w:rsidRDefault="003B6DC0" w:rsidP="003701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правах и преимуществах для победителей всероссийских олимпиад и олимпиад школьников</w:t>
      </w:r>
    </w:p>
    <w:p w:rsidR="003701C7" w:rsidRPr="003701C7" w:rsidRDefault="003701C7" w:rsidP="00370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5"/>
      <w:bookmarkEnd w:id="0"/>
      <w:r w:rsidRPr="003701C7">
        <w:rPr>
          <w:rFonts w:ascii="Times New Roman" w:hAnsi="Times New Roman" w:cs="Times New Roman"/>
          <w:sz w:val="24"/>
          <w:szCs w:val="24"/>
        </w:rPr>
        <w:t>28. Право на прием без вступительных испытаний имеют: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6"/>
      <w:bookmarkEnd w:id="1"/>
      <w:proofErr w:type="gramStart"/>
      <w:r w:rsidRPr="003701C7">
        <w:rPr>
          <w:rFonts w:ascii="Times New Roman" w:hAnsi="Times New Roman" w:cs="Times New Roman"/>
          <w:sz w:val="24"/>
          <w:szCs w:val="24"/>
        </w:rPr>
        <w:t>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</w:t>
      </w:r>
      <w:proofErr w:type="gramEnd"/>
      <w:r w:rsidRPr="003701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01C7">
        <w:rPr>
          <w:rFonts w:ascii="Times New Roman" w:hAnsi="Times New Roman" w:cs="Times New Roman"/>
          <w:sz w:val="24"/>
          <w:szCs w:val="24"/>
        </w:rPr>
        <w:t>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олимпиады;</w:t>
      </w:r>
      <w:proofErr w:type="gramEnd"/>
    </w:p>
    <w:p w:rsid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0"/>
      <w:bookmarkEnd w:id="2"/>
      <w:proofErr w:type="gramStart"/>
      <w:r w:rsidRPr="003701C7">
        <w:rPr>
          <w:rFonts w:ascii="Times New Roman" w:hAnsi="Times New Roman" w:cs="Times New Roman"/>
          <w:sz w:val="24"/>
          <w:szCs w:val="24"/>
        </w:rPr>
        <w:t>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указанных в части 3.1</w:t>
      </w:r>
      <w:proofErr w:type="gramEnd"/>
      <w:r w:rsidRPr="003701C7">
        <w:rPr>
          <w:rFonts w:ascii="Times New Roman" w:hAnsi="Times New Roman" w:cs="Times New Roman"/>
          <w:sz w:val="24"/>
          <w:szCs w:val="24"/>
        </w:rPr>
        <w:t xml:space="preserve"> статьи 5 Федерального закона N 84-ФЗ.</w:t>
      </w:r>
    </w:p>
    <w:p w:rsidR="003B6DC0" w:rsidRDefault="003B6DC0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6DC0" w:rsidRDefault="003B6DC0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6DC0" w:rsidRPr="003B6DC0" w:rsidRDefault="003B6DC0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3" w:name="_GoBack"/>
      <w:bookmarkEnd w:id="3"/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9"/>
      <w:bookmarkStart w:id="5" w:name="Par277"/>
      <w:bookmarkEnd w:id="4"/>
      <w:bookmarkEnd w:id="5"/>
      <w:r w:rsidRPr="003701C7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3701C7">
        <w:rPr>
          <w:rFonts w:ascii="Times New Roman" w:hAnsi="Times New Roman" w:cs="Times New Roman"/>
          <w:sz w:val="24"/>
          <w:szCs w:val="24"/>
        </w:rPr>
        <w:t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подготовки, соответствующим профилю</w:t>
      </w:r>
      <w:proofErr w:type="gramEnd"/>
      <w:r w:rsidRPr="003701C7">
        <w:rPr>
          <w:rFonts w:ascii="Times New Roman" w:hAnsi="Times New Roman" w:cs="Times New Roman"/>
          <w:sz w:val="24"/>
          <w:szCs w:val="24"/>
        </w:rPr>
        <w:t xml:space="preserve"> олимпиады школьников: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78"/>
      <w:bookmarkEnd w:id="6"/>
      <w:r w:rsidRPr="003701C7">
        <w:rPr>
          <w:rFonts w:ascii="Times New Roman" w:hAnsi="Times New Roman" w:cs="Times New Roman"/>
          <w:sz w:val="24"/>
          <w:szCs w:val="24"/>
        </w:rPr>
        <w:t xml:space="preserve">1) прием без вступительных испытаний на </w:t>
      </w:r>
      <w:proofErr w:type="gramStart"/>
      <w:r w:rsidRPr="003701C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3701C7">
        <w:rPr>
          <w:rFonts w:ascii="Times New Roman" w:hAnsi="Times New Roman" w:cs="Times New Roman"/>
          <w:sz w:val="24"/>
          <w:szCs w:val="24"/>
        </w:rPr>
        <w:t xml:space="preserve"> бакалавриата и программам специалитета по специальностям и направлениям подготовки, соответствующим профилю олимпиады школьников;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79"/>
      <w:bookmarkEnd w:id="7"/>
      <w:r w:rsidRPr="003701C7">
        <w:rPr>
          <w:rFonts w:ascii="Times New Roman" w:hAnsi="Times New Roman" w:cs="Times New Roman"/>
          <w:sz w:val="24"/>
          <w:szCs w:val="24"/>
        </w:rPr>
        <w:t>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N 273-ФЗ (далее - право на 100 баллов).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 xml:space="preserve">Особые права, указанные в </w:t>
      </w:r>
      <w:hyperlink r:id="rId5" w:anchor="Par278" w:tooltip="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anchor="Par279" w:tooltip="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 настоящего пункта, могут предоставляться одним и тем же поступающим. В случае предоставления особого права, указанного в </w:t>
      </w:r>
      <w:hyperlink r:id="rId7" w:anchor="Par279" w:tooltip="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2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84"/>
      <w:bookmarkEnd w:id="8"/>
      <w:r w:rsidRPr="003701C7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3701C7">
        <w:rPr>
          <w:rFonts w:ascii="Times New Roman" w:hAnsi="Times New Roman" w:cs="Times New Roman"/>
          <w:sz w:val="24"/>
          <w:szCs w:val="24"/>
        </w:rPr>
        <w:t xml:space="preserve">Лицам, указанным в </w:t>
      </w:r>
      <w:hyperlink r:id="rId8" w:anchor="Par225" w:tooltip="33. Право на прием без вступительных испытаний имеют: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пунктах 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28 и </w:t>
      </w:r>
      <w:hyperlink r:id="rId9" w:anchor="Par277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2 Правил, предоставляется в течение сроков, указанных в </w:t>
      </w:r>
      <w:hyperlink r:id="rId10" w:anchor="Par225" w:tooltip="33. Право на прием без вступительных испытаний имеют: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пунктах 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28 и </w:t>
      </w:r>
      <w:hyperlink r:id="rId11" w:anchor="Par277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3701C7">
        <w:rPr>
          <w:rFonts w:ascii="Times New Roman" w:hAnsi="Times New Roman" w:cs="Times New Roman"/>
          <w:sz w:val="24"/>
          <w:szCs w:val="24"/>
        </w:rPr>
        <w:t>2 Правил,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направленности, предусмотренного частями 7 и 8 статьи 70 Федерального закона N 273-ФЗ</w:t>
      </w:r>
      <w:proofErr w:type="gramEnd"/>
      <w:r w:rsidRPr="003701C7">
        <w:rPr>
          <w:rFonts w:ascii="Times New Roman" w:hAnsi="Times New Roman" w:cs="Times New Roman"/>
          <w:sz w:val="24"/>
          <w:szCs w:val="24"/>
        </w:rPr>
        <w:t xml:space="preserve">, если общеобразовательный предмет или дополнительное вступительное испытание </w:t>
      </w:r>
      <w:r w:rsidRPr="003701C7">
        <w:rPr>
          <w:rFonts w:ascii="Times New Roman" w:hAnsi="Times New Roman" w:cs="Times New Roman"/>
          <w:sz w:val="24"/>
          <w:szCs w:val="24"/>
        </w:rPr>
        <w:lastRenderedPageBreak/>
        <w:t>соответствует профилю олимпиады.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3701C7">
        <w:rPr>
          <w:rFonts w:ascii="Times New Roman" w:hAnsi="Times New Roman" w:cs="Times New Roman"/>
          <w:sz w:val="24"/>
          <w:szCs w:val="24"/>
        </w:rPr>
        <w:t xml:space="preserve">Для предоставления победителям и призерам олимпиад школьников особых прав и преимуществ, указанных в </w:t>
      </w:r>
      <w:hyperlink r:id="rId12" w:anchor="Par277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2 и </w:t>
      </w:r>
      <w:hyperlink r:id="rId13" w:anchor="Par284" w:tooltip="38. Лицам, указанным в пунктах 33 и 37 Порядка, предоставляется в течение сроков, указанных в пунктах 33 и 37 Порядка, преимущество посредством приравнивания к лицам, набравшим максимальное количество баллов ЕГЭ (100 баллов) по общеобразовательному предме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3701C7">
        <w:rPr>
          <w:rFonts w:ascii="Times New Roman" w:hAnsi="Times New Roman" w:cs="Times New Roman"/>
          <w:sz w:val="24"/>
          <w:szCs w:val="24"/>
        </w:rPr>
        <w:t>3 Правил, РГГМУ по своему решению устанавливает, по каким уровням олимпиад и (или) по какому перечню олимпиад предоставляется каждое из указанных прав и преимуществ, а также устанавливает по каждой олимпиаде (по каждому уровню олимпиад), за какие классы обучения по общеобразовательной программе должны</w:t>
      </w:r>
      <w:proofErr w:type="gramEnd"/>
      <w:r w:rsidRPr="003701C7">
        <w:rPr>
          <w:rFonts w:ascii="Times New Roman" w:hAnsi="Times New Roman" w:cs="Times New Roman"/>
          <w:sz w:val="24"/>
          <w:szCs w:val="24"/>
        </w:rPr>
        <w:t xml:space="preserve"> быть получены результаты победителя (призера) для предоставления соответствующего особого права или преимущества (Приложение 6).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>По олимпиадам школьников одного профиля (в случае установления перечня олимпиад - в рамках установленного перечня):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>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уровней;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>особое право или преимущество, предоставляемое победителям либо победителям и призерам олимпиад школьников II уровня, предоставляется также соответственно победителям либо победителям и призерам олимпиад школьников I уровня.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>Особое право или преимущество, предоставляемое призерам олимпиады школьников, предоставляется также победителям этой олимпиады.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3701C7">
        <w:rPr>
          <w:rFonts w:ascii="Times New Roman" w:hAnsi="Times New Roman" w:cs="Times New Roman"/>
          <w:sz w:val="24"/>
          <w:szCs w:val="24"/>
        </w:rPr>
        <w:t xml:space="preserve">Для предоставления особых прав, указанных в </w:t>
      </w:r>
      <w:hyperlink r:id="rId14" w:anchor="Par226" w:tooltip="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anchor="Par230" w:tooltip="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 пункта 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28 и </w:t>
      </w:r>
      <w:hyperlink r:id="rId16" w:anchor="Par277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 w:rsidRPr="003701C7">
        <w:rPr>
          <w:rFonts w:ascii="Times New Roman" w:hAnsi="Times New Roman" w:cs="Times New Roman"/>
          <w:sz w:val="24"/>
          <w:szCs w:val="24"/>
        </w:rPr>
        <w:t>2 Правил, и преимущества, указанного в</w:t>
      </w:r>
      <w:proofErr w:type="gramEnd"/>
      <w:r w:rsidRPr="003701C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Par284" w:tooltip="38. Лицам, указанным в пунктах 33 и 37 Порядка, предоставляется в течение сроков, указанных в пунктах 33 и 37 Порядка, преимущество посредством приравнивания к лицам, набравшим максимальное количество баллов ЕГЭ (100 баллов) по общеобразовательному предме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 w:rsidRPr="003701C7">
        <w:rPr>
          <w:rFonts w:ascii="Times New Roman" w:hAnsi="Times New Roman" w:cs="Times New Roman"/>
          <w:sz w:val="24"/>
          <w:szCs w:val="24"/>
        </w:rPr>
        <w:t>3 Правил, РГГМУ самостоятельно определяет, что профиль олимпиады соответствует специальностям и направлениям подготовки, если в перечне вступительных испытаний он является приоритетным при ранжировании; профиль олимпиады соответствует общеобразовательным предметам и дополнительным вступительным испытаниям, если они указаны в перечне вступительных испытаний для поступления в РГГМУ (Приложение 2).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3701C7">
        <w:rPr>
          <w:rFonts w:ascii="Times New Roman" w:hAnsi="Times New Roman" w:cs="Times New Roman"/>
          <w:sz w:val="24"/>
          <w:szCs w:val="24"/>
        </w:rPr>
        <w:t xml:space="preserve">При приеме на обучение по одной образовательной программе особые права, предусмотренные 28 и </w:t>
      </w:r>
      <w:hyperlink r:id="rId18" w:anchor="Par277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2 Правил, и преимущество, предусмотренное </w:t>
      </w:r>
      <w:hyperlink r:id="rId19" w:anchor="Par284" w:tooltip="38. Лицам, указанным в пунктах 33 и 37 Порядка, предоставляется в течение сроков, указанных в пунктах 33 и 37 Порядка, преимущество посредством приравнивания к лицам, набравшим максимальное количество баллов ЕГЭ (100 баллов) по общеобразовательному предме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33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 Правил, не могут различаться при приеме для обучения в РГГМУ и для обучения в филиале РГГМУ, при приеме на различные формы обучения, а также при приеме на места в пределах особой квоты, на места в пределах целевой квоты, на</w:t>
      </w:r>
      <w:proofErr w:type="gramEnd"/>
      <w:r w:rsidRPr="003701C7">
        <w:rPr>
          <w:rFonts w:ascii="Times New Roman" w:hAnsi="Times New Roman" w:cs="Times New Roman"/>
          <w:sz w:val="24"/>
          <w:szCs w:val="24"/>
        </w:rPr>
        <w:t xml:space="preserve"> основные места в рамках контрольных цифр и на места по договорам об оказании платных образовательных услуг.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 xml:space="preserve">37. Особые права, указанные в </w:t>
      </w:r>
      <w:hyperlink r:id="rId20" w:anchor="Par277" w:tooltip="37. 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2 Правил, и преимущество, указанное в </w:t>
      </w:r>
      <w:hyperlink r:id="rId21" w:anchor="Par284" w:tooltip="38. Лицам, указанным в пунктах 33 и 37 Порядка, предоставляется в течение сроков, указанных в пунктах 33 и 37 Порядка, преимущество посредством приравнивания к лицам, набравшим максимальное количество баллов ЕГЭ (100 баллов) по общеобразовательному предме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 w:rsidRPr="003701C7">
        <w:rPr>
          <w:rFonts w:ascii="Times New Roman" w:hAnsi="Times New Roman" w:cs="Times New Roman"/>
          <w:sz w:val="24"/>
          <w:szCs w:val="24"/>
        </w:rPr>
        <w:t>3 Правил,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75 баллов: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 xml:space="preserve">для использования особого права, указанного в </w:t>
      </w:r>
      <w:hyperlink r:id="rId22" w:anchor="Par278" w:tooltip="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 пункта 3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2 Правил, - по общеобразовательному предмету, соответствующему профилю олимпиады (Приложение 6); </w:t>
      </w:r>
    </w:p>
    <w:p w:rsidR="003701C7" w:rsidRPr="003701C7" w:rsidRDefault="003701C7" w:rsidP="0037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1C7">
        <w:rPr>
          <w:rFonts w:ascii="Times New Roman" w:hAnsi="Times New Roman" w:cs="Times New Roman"/>
          <w:sz w:val="24"/>
          <w:szCs w:val="24"/>
        </w:rPr>
        <w:t xml:space="preserve">для использования особого права, указанного в </w:t>
      </w:r>
      <w:hyperlink r:id="rId23" w:anchor="Par279" w:tooltip="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2 пункта 3</w:t>
        </w:r>
      </w:hyperlink>
      <w:r w:rsidRPr="003701C7">
        <w:rPr>
          <w:rFonts w:ascii="Times New Roman" w:hAnsi="Times New Roman" w:cs="Times New Roman"/>
          <w:sz w:val="24"/>
          <w:szCs w:val="24"/>
        </w:rPr>
        <w:t xml:space="preserve">2 Правил, или преимущества, указанного в </w:t>
      </w:r>
      <w:hyperlink r:id="rId24" w:anchor="Par284" w:tooltip="38. Лицам, указанным в пунктах 33 и 37 Порядка, предоставляется в течение сроков, указанных в пунктах 33 и 37 Порядка, преимущество посредством приравнивания к лицам, набравшим максимальное количество баллов ЕГЭ (100 баллов) по общеобразовательному предме" w:history="1">
        <w:r w:rsidRPr="003701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 w:rsidRPr="003701C7">
        <w:rPr>
          <w:rFonts w:ascii="Times New Roman" w:hAnsi="Times New Roman" w:cs="Times New Roman"/>
          <w:sz w:val="24"/>
          <w:szCs w:val="24"/>
        </w:rPr>
        <w:t>3 Правил, - по общеобразовательному предмету, соответствующему вступительному испытанию.</w:t>
      </w:r>
    </w:p>
    <w:p w:rsidR="003701C7" w:rsidRPr="003701C7" w:rsidRDefault="003701C7" w:rsidP="00370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19" w:rsidRPr="003701C7" w:rsidRDefault="00D24B19"/>
    <w:sectPr w:rsidR="00D24B19" w:rsidRPr="0037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C7"/>
    <w:rsid w:val="003701C7"/>
    <w:rsid w:val="003B6DC0"/>
    <w:rsid w:val="00D2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0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3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8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7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2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7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20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1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24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5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5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23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0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9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14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Relationship Id="rId22" Type="http://schemas.openxmlformats.org/officeDocument/2006/relationships/hyperlink" Target="file:///K:\&#1051;&#1080;&#1095;&#1085;&#1099;&#1077;%20(&#1055;&#1086;&#1076;&#1088;&#1072;&#1079;&#1076;&#1077;&#1083;&#1077;&#1085;&#1080;&#1103;)\&#1055;&#1088;&#1080;&#1077;&#1084;&#1085;&#1072;&#1103;%20&#1082;&#1086;&#1084;&#1080;&#1089;&#1089;&#1080;&#1103;\3-&#1058;&#1072;&#1090;&#1072;&#1088;&#1080;&#1085;&#1086;&#1074;&#1072;\&#1053;&#1054;&#1056;&#1052;&#1040;&#1058;&#1048;&#1042;&#1053;&#1067;&#1045;%20&#1044;&#1054;&#1050;&#1059;&#1052;&#1045;&#1053;&#1058;&#1067;\2017\&#1055;&#1088;&#1072;&#1074;&#1080;&#1083;&#1072;%20201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2</cp:revision>
  <dcterms:created xsi:type="dcterms:W3CDTF">2016-09-30T18:18:00Z</dcterms:created>
  <dcterms:modified xsi:type="dcterms:W3CDTF">2016-09-30T18:18:00Z</dcterms:modified>
</cp:coreProperties>
</file>