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C7" w:rsidRPr="003701C7" w:rsidRDefault="003B6DC0" w:rsidP="00370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правах и преимуществах для победителей всероссийских олимпиад и олимпиад школьников</w:t>
      </w:r>
    </w:p>
    <w:p w:rsidR="003701C7" w:rsidRPr="003701C7" w:rsidRDefault="003701C7" w:rsidP="00370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3701C7">
        <w:rPr>
          <w:rFonts w:ascii="Times New Roman" w:hAnsi="Times New Roman" w:cs="Times New Roman"/>
          <w:sz w:val="24"/>
          <w:szCs w:val="24"/>
        </w:rPr>
        <w:t>28. Право на прием без вступительных испытаний имеют: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6"/>
      <w:bookmarkEnd w:id="1"/>
      <w:proofErr w:type="gramStart"/>
      <w:r w:rsidRPr="003701C7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0"/>
      <w:bookmarkEnd w:id="2"/>
      <w:proofErr w:type="gramStart"/>
      <w:r w:rsidRPr="003701C7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статьи 5 Федерального закона N 84-ФЗ.</w:t>
      </w:r>
    </w:p>
    <w:p w:rsidR="003B6DC0" w:rsidRDefault="003B6DC0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6DC0" w:rsidRDefault="003B6DC0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6DC0" w:rsidRPr="003B6DC0" w:rsidRDefault="003B6DC0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3" w:name="_GoBack"/>
      <w:bookmarkEnd w:id="3"/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9"/>
      <w:bookmarkStart w:id="5" w:name="Par277"/>
      <w:bookmarkEnd w:id="4"/>
      <w:bookmarkEnd w:id="5"/>
      <w:r w:rsidRPr="003701C7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олимпиады школьников: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8"/>
      <w:bookmarkEnd w:id="6"/>
      <w:r w:rsidRPr="003701C7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 w:rsidRPr="003701C7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(далее - право на 100 баллов).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Особые права, указанные в </w:t>
      </w:r>
      <w:hyperlink r:id="rId5" w:anchor="Par278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r:id="rId7"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84"/>
      <w:bookmarkEnd w:id="8"/>
      <w:r w:rsidRPr="003701C7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r:id="rId8" w:anchor="Par225" w:tooltip="33. Право на прием без вступительных испытаний имеют: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28 и </w:t>
      </w:r>
      <w:hyperlink r:id="rId9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Правил, предоставляется в течение сроков, указанных в </w:t>
      </w:r>
      <w:hyperlink r:id="rId10" w:anchor="Par225" w:tooltip="33. Право на прием без вступительных испытаний имеют: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28 и </w:t>
      </w:r>
      <w:hyperlink r:id="rId11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2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направленности, предусмотренного частями 7 и 8 статьи 70 Федерального закона N 273-ФЗ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, если общеобразовательный предмет или дополнительное вступительное испытание </w:t>
      </w:r>
      <w:r w:rsidRPr="003701C7">
        <w:rPr>
          <w:rFonts w:ascii="Times New Roman" w:hAnsi="Times New Roman" w:cs="Times New Roman"/>
          <w:sz w:val="24"/>
          <w:szCs w:val="24"/>
        </w:rPr>
        <w:lastRenderedPageBreak/>
        <w:t>соответствует профилю олимпиады.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 xml:space="preserve">Для предоставления победителям и призерам олимпиад школьников особых прав и преимуществ, указанных в </w:t>
      </w:r>
      <w:hyperlink r:id="rId12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и </w:t>
      </w:r>
      <w:hyperlink r:id="rId13"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3 Правил, РГГМУ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быть получены результаты победителя (призера) для предоставления соответствующего особого права или преимущества (Приложение 6).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 xml:space="preserve">Для предоставления особых прав, указанных в </w:t>
      </w:r>
      <w:hyperlink r:id="rId14" w:anchor="Par226" w:tooltip="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Par230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 пункта 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28 и </w:t>
      </w:r>
      <w:hyperlink r:id="rId16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2 Правил, и преимущества, указанного в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3 Правил, РГГМУ самостоятельно определяет, что профиль олимпиады соответствует специальностям и направлениям подготовки, если в перечне вступительных испытаний он является приоритетным при ранжировании; профиль олимпиады соответствует общеобразовательным предметам и дополнительным вступительным испытаниям, если они указаны в перечне вступительных испытаний для поступления в РГГМУ (Приложение 2).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 xml:space="preserve">При приеме на обучение по одной образовательной программе особые права, предусмотренные 28 и </w:t>
      </w:r>
      <w:hyperlink r:id="rId18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Правил, и преимущество, предусмотренное </w:t>
      </w:r>
      <w:hyperlink r:id="rId19"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 Правил, не могут различаться при приеме для обучения в РГГМУ и для обучения в филиале РГГМУ, при приеме на различные формы обучения, а также при приеме на места в пределах особой квоты, на места в пределах целевой квоты, на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основные места в рамках контрольных цифр и на места по договорам об оказании платных образовательных услуг.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37. Особые права, указанные в </w:t>
      </w:r>
      <w:hyperlink r:id="rId20"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Правил, и преимущество, указанное в </w:t>
      </w:r>
      <w:hyperlink r:id="rId21"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3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75 баллов: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r:id="rId22" w:anchor="Par278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Правил, - по общеобразовательному предмету, соответствующему профилю олимпиады (Приложение 6); </w:t>
      </w:r>
    </w:p>
    <w:p w:rsidR="003701C7" w:rsidRPr="003701C7" w:rsidRDefault="003701C7" w:rsidP="0037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r:id="rId23"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 пункта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 xml:space="preserve">2 Правил, или преимущества, указанного в </w:t>
      </w:r>
      <w:hyperlink r:id="rId24"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" w:history="1">
        <w:r w:rsidRPr="003701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701C7">
        <w:rPr>
          <w:rFonts w:ascii="Times New Roman" w:hAnsi="Times New Roman" w:cs="Times New Roman"/>
          <w:sz w:val="24"/>
          <w:szCs w:val="24"/>
        </w:rPr>
        <w:t>3 Правил, - по общеобразовательному предмету, соответствующему вступительному испытанию.</w:t>
      </w:r>
    </w:p>
    <w:p w:rsidR="003701C7" w:rsidRPr="003701C7" w:rsidRDefault="003701C7" w:rsidP="00370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B19" w:rsidRPr="003701C7" w:rsidRDefault="00D24B19"/>
    <w:sectPr w:rsidR="00D24B19" w:rsidRPr="003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C7"/>
    <w:rsid w:val="003701C7"/>
    <w:rsid w:val="003B6DC0"/>
    <w:rsid w:val="00D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3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8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7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2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7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0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1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4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5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5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3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0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9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14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Relationship Id="rId22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3-&#1058;&#1072;&#1090;&#1072;&#1088;&#1080;&#1085;&#1086;&#1074;&#1072;\&#1053;&#1054;&#1056;&#1052;&#1040;&#1058;&#1048;&#1042;&#1053;&#1067;&#1045;%20&#1044;&#1054;&#1050;&#1059;&#1052;&#1045;&#1053;&#1058;&#1067;\2017\&#1055;&#1088;&#1072;&#1074;&#1080;&#1083;&#1072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2016-09-30T18:18:00Z</dcterms:created>
  <dcterms:modified xsi:type="dcterms:W3CDTF">2016-09-30T18:18:00Z</dcterms:modified>
</cp:coreProperties>
</file>